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5E631" w14:textId="047928A4" w:rsidR="003474A5" w:rsidRPr="0052548E" w:rsidRDefault="003474A5" w:rsidP="003474A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EB4EBA">
        <w:rPr>
          <w:rFonts w:ascii="Arial" w:hAnsi="Arial" w:cs="Arial"/>
          <w:b/>
          <w:bCs/>
          <w:sz w:val="28"/>
        </w:rPr>
        <w:t>R1-2109400</w:t>
      </w:r>
    </w:p>
    <w:p w14:paraId="452CB0F4" w14:textId="77777777" w:rsidR="003474A5" w:rsidRPr="009513AC" w:rsidRDefault="003474A5" w:rsidP="003474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34925BC" w14:textId="4E892C23" w:rsidR="00517AEA" w:rsidRPr="00A06690" w:rsidRDefault="00EB4EBA" w:rsidP="0065666C">
      <w:pPr>
        <w:spacing w:before="0" w:after="0" w:line="300" w:lineRule="auto"/>
        <w:ind w:left="1990" w:hanging="1990"/>
        <w:jc w:val="left"/>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8.17.4</w:t>
      </w:r>
    </w:p>
    <w:p w14:paraId="18395FC3" w14:textId="7777777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Source:</w:t>
      </w:r>
      <w:r w:rsidRPr="00A06690">
        <w:rPr>
          <w:rFonts w:ascii="Arial" w:eastAsia="宋体" w:hAnsi="Arial" w:cs="Arial"/>
          <w:b/>
          <w:sz w:val="22"/>
          <w:szCs w:val="22"/>
          <w:lang w:val="en-US" w:eastAsia="en-US"/>
        </w:rPr>
        <w:tab/>
      </w:r>
      <w:r w:rsidRPr="00A06690">
        <w:rPr>
          <w:rFonts w:ascii="Arial" w:eastAsia="宋体" w:hAnsi="Arial" w:cs="Arial"/>
          <w:b/>
          <w:sz w:val="22"/>
          <w:szCs w:val="22"/>
          <w:lang w:val="en-US" w:eastAsia="en-US"/>
        </w:rPr>
        <w:tab/>
        <w:t>Xiaomi</w:t>
      </w:r>
    </w:p>
    <w:p w14:paraId="6C1B73BC" w14:textId="487C2AA1"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w:t>
      </w:r>
      <w:r w:rsidR="00EB4EBA">
        <w:rPr>
          <w:rFonts w:ascii="Arial" w:eastAsia="宋体" w:hAnsi="Arial" w:cs="Arial"/>
          <w:b/>
          <w:sz w:val="22"/>
          <w:szCs w:val="22"/>
          <w:lang w:val="en-US" w:eastAsia="en-US"/>
        </w:rPr>
        <w:t>UE features for NTN</w:t>
      </w:r>
    </w:p>
    <w:p w14:paraId="7433E077" w14:textId="77777777" w:rsidR="00517AEA" w:rsidRPr="00A06690"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0" w:name="DocumentFor"/>
      <w:bookmarkEnd w:id="0"/>
      <w:r w:rsidRPr="00A06690">
        <w:rPr>
          <w:rFonts w:ascii="Arial" w:eastAsia="宋体" w:hAnsi="Arial" w:cs="Arial"/>
          <w:b/>
          <w:sz w:val="22"/>
          <w:szCs w:val="22"/>
          <w:lang w:val="en-US" w:eastAsia="en-US"/>
        </w:rPr>
        <w:tab/>
        <w:t>Discussion</w:t>
      </w:r>
    </w:p>
    <w:p w14:paraId="110AF7BA" w14:textId="4643A9C9" w:rsidR="006B0612" w:rsidRDefault="00517AEA" w:rsidP="00292ED6">
      <w:pPr>
        <w:pStyle w:val="1"/>
      </w:pPr>
      <w:r w:rsidRPr="00A06690">
        <w:t>Introduction</w:t>
      </w:r>
    </w:p>
    <w:p w14:paraId="18AC3788" w14:textId="376389CF" w:rsidR="00EB4EBA" w:rsidRPr="00EB4EBA" w:rsidRDefault="00EB4EBA" w:rsidP="00EB4EBA">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sidRPr="00EB4EBA">
        <w:rPr>
          <w:rFonts w:eastAsiaTheme="minorEastAsia"/>
          <w:lang w:val="en-US" w:eastAsia="zh-CN"/>
        </w:rPr>
        <w:t xml:space="preserve">[1], the preliminary RAN1 UE features for Rel-17 NR </w:t>
      </w:r>
      <w:r>
        <w:rPr>
          <w:rFonts w:eastAsiaTheme="minorEastAsia"/>
          <w:lang w:val="en-US" w:eastAsia="zh-CN"/>
        </w:rPr>
        <w:t>NTN</w:t>
      </w:r>
      <w:r w:rsidRPr="00EB4EBA">
        <w:rPr>
          <w:rFonts w:eastAsiaTheme="minorEastAsia"/>
          <w:lang w:val="en-US" w:eastAsia="zh-CN"/>
        </w:rPr>
        <w:t xml:space="preserve"> are provided. </w:t>
      </w:r>
      <w:r w:rsidRPr="00EB4EBA">
        <w:rPr>
          <w:rFonts w:eastAsiaTheme="minorEastAsia" w:hint="eastAsia"/>
          <w:lang w:val="en-US" w:eastAsia="zh-CN"/>
        </w:rPr>
        <w:t>I</w:t>
      </w:r>
      <w:r w:rsidRPr="00EB4EBA">
        <w:rPr>
          <w:rFonts w:eastAsiaTheme="minorEastAsia"/>
          <w:lang w:val="en-US" w:eastAsia="zh-CN"/>
        </w:rPr>
        <w:t xml:space="preserve">n this contribution, we provide our comments on these RAN1 UE features. </w:t>
      </w:r>
    </w:p>
    <w:p w14:paraId="7AF0C4BA" w14:textId="1F80A434" w:rsidR="0024162E" w:rsidRPr="00A06690" w:rsidRDefault="00EB4EBA" w:rsidP="001F3A3D">
      <w:pPr>
        <w:pStyle w:val="1"/>
      </w:pPr>
      <w:r>
        <w:t>Comments on UE features</w:t>
      </w:r>
    </w:p>
    <w:p w14:paraId="177BF416" w14:textId="6F7F900F" w:rsidR="00B34582" w:rsidRDefault="004E2D63" w:rsidP="00367327">
      <w:pPr>
        <w:rPr>
          <w:rFonts w:eastAsiaTheme="minorEastAsia"/>
          <w:b/>
          <w:u w:val="single"/>
          <w:lang w:val="en-US" w:eastAsia="zh-CN"/>
        </w:rPr>
      </w:pPr>
      <w:r w:rsidRPr="004E2D63">
        <w:rPr>
          <w:rFonts w:eastAsiaTheme="minorEastAsia"/>
          <w:b/>
          <w:u w:val="single"/>
          <w:lang w:val="en-US" w:eastAsia="zh-CN"/>
        </w:rPr>
        <w:t>On timing relationship aspects</w:t>
      </w:r>
    </w:p>
    <w:p w14:paraId="7E274497" w14:textId="0682CF30" w:rsidR="004E2D63" w:rsidRDefault="004E2D63" w:rsidP="00367327">
      <w:pPr>
        <w:rPr>
          <w:rFonts w:eastAsiaTheme="minorEastAsia"/>
          <w:lang w:val="en-US" w:eastAsia="zh-CN"/>
        </w:rPr>
      </w:pPr>
      <w:r w:rsidRPr="004E2D63">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17263F4D" wp14:editId="4C40E961">
                <wp:simplePos x="0" y="0"/>
                <wp:positionH relativeFrom="column">
                  <wp:posOffset>-95885</wp:posOffset>
                </wp:positionH>
                <wp:positionV relativeFrom="paragraph">
                  <wp:posOffset>243840</wp:posOffset>
                </wp:positionV>
                <wp:extent cx="6178550" cy="1404620"/>
                <wp:effectExtent l="0" t="0" r="1270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1AEE0F88" w14:textId="72287AFA" w:rsidR="002E3771" w:rsidRDefault="002E3771" w:rsidP="004E2D63">
                            <w:pPr>
                              <w:rPr>
                                <w:lang w:eastAsia="x-none"/>
                              </w:rPr>
                            </w:pPr>
                            <w:r w:rsidRPr="00685301">
                              <w:rPr>
                                <w:highlight w:val="green"/>
                                <w:lang w:eastAsia="x-none"/>
                              </w:rPr>
                              <w:t>Agreement:</w:t>
                            </w:r>
                          </w:p>
                          <w:p w14:paraId="39D691A0" w14:textId="77777777" w:rsidR="002E3771" w:rsidRDefault="002E3771" w:rsidP="004E2D63">
                            <w:pPr>
                              <w:rPr>
                                <w:lang w:eastAsia="x-none"/>
                              </w:rPr>
                            </w:pPr>
                            <w:r>
                              <w:rPr>
                                <w:lang w:eastAsia="x-none"/>
                              </w:rPr>
                              <w:t xml:space="preserve">For unpaired spectrum, extend the value range of K1 from (0..15) to (0..31) </w:t>
                            </w:r>
                          </w:p>
                          <w:p w14:paraId="779D69F5" w14:textId="77777777" w:rsidR="002E3771" w:rsidRDefault="002E3771" w:rsidP="004E2D63">
                            <w:pPr>
                              <w:rPr>
                                <w:lang w:eastAsia="x-none"/>
                              </w:rPr>
                            </w:pPr>
                            <w:r>
                              <w:rPr>
                                <w:lang w:eastAsia="x-none"/>
                              </w:rPr>
                              <w:t>FFS: Whether there is an impact on the size of the PDSCH-to-HARQ_feedback timing indicator field in DCI.</w:t>
                            </w:r>
                          </w:p>
                          <w:p w14:paraId="58651666" w14:textId="23042C69" w:rsidR="002E3771" w:rsidRPr="004E2D63" w:rsidRDefault="002E377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263F4D" id="_x0000_t202" coordsize="21600,21600" o:spt="202" path="m,l,21600r21600,l21600,xe">
                <v:stroke joinstyle="miter"/>
                <v:path gradientshapeok="t" o:connecttype="rect"/>
              </v:shapetype>
              <v:shape id="文本框 2" o:spid="_x0000_s1026" type="#_x0000_t202" style="position:absolute;left:0;text-align:left;margin-left:-7.55pt;margin-top:19.2pt;width:4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">
                <v:textbox style="mso-fit-shape-to-text:t">
                  <w:txbxContent>
                    <w:p w14:paraId="1AEE0F88" w14:textId="72287AFA" w:rsidR="002E3771" w:rsidRDefault="002E3771" w:rsidP="004E2D63">
                      <w:pPr>
                        <w:rPr>
                          <w:lang w:eastAsia="x-none"/>
                        </w:rPr>
                      </w:pPr>
                      <w:r w:rsidRPr="00685301">
                        <w:rPr>
                          <w:highlight w:val="green"/>
                          <w:lang w:eastAsia="x-none"/>
                        </w:rPr>
                        <w:t>Agreement:</w:t>
                      </w:r>
                    </w:p>
                    <w:p w14:paraId="39D691A0" w14:textId="77777777" w:rsidR="002E3771" w:rsidRDefault="002E3771" w:rsidP="004E2D63">
                      <w:pPr>
                        <w:rPr>
                          <w:lang w:eastAsia="x-none"/>
                        </w:rPr>
                      </w:pPr>
                      <w:r>
                        <w:rPr>
                          <w:lang w:eastAsia="x-none"/>
                        </w:rPr>
                        <w:t xml:space="preserve">For unpaired spectrum, extend the value range of K1 from (0..15) to (0..31) </w:t>
                      </w:r>
                    </w:p>
                    <w:p w14:paraId="779D69F5" w14:textId="77777777" w:rsidR="002E3771" w:rsidRDefault="002E3771" w:rsidP="004E2D63">
                      <w:pPr>
                        <w:rPr>
                          <w:lang w:eastAsia="x-none"/>
                        </w:rPr>
                      </w:pPr>
                      <w:r>
                        <w:rPr>
                          <w:lang w:eastAsia="x-none"/>
                        </w:rPr>
                        <w:t>FFS: Whether there is an impact on the size of the PDSCH-to-HARQ_feedback timing indicator field in DCI.</w:t>
                      </w:r>
                    </w:p>
                    <w:p w14:paraId="58651666" w14:textId="23042C69" w:rsidR="002E3771" w:rsidRPr="004E2D63" w:rsidRDefault="002E3771"/>
                  </w:txbxContent>
                </v:textbox>
                <w10:wrap type="square"/>
              </v:shape>
            </w:pict>
          </mc:Fallback>
        </mc:AlternateContent>
      </w:r>
      <w:r>
        <w:rPr>
          <w:rFonts w:eastAsiaTheme="minorEastAsia"/>
          <w:lang w:val="en-US" w:eastAsia="zh-CN"/>
        </w:rPr>
        <w:t>In RAN1 104e meeting, an agreement on the K1 extension was made as follows:</w:t>
      </w:r>
    </w:p>
    <w:p w14:paraId="12ED76C5" w14:textId="77777777" w:rsidR="009335D4" w:rsidRDefault="004E2D63" w:rsidP="004E2D63">
      <w:pPr>
        <w:rPr>
          <w:lang w:val="en-US" w:eastAsia="zh-CN"/>
        </w:rPr>
      </w:pPr>
      <w:r>
        <w:rPr>
          <w:rFonts w:eastAsiaTheme="minorEastAsia"/>
          <w:lang w:eastAsia="zh-CN"/>
        </w:rPr>
        <w:t xml:space="preserve">The motivation to have extension of K1 is to </w:t>
      </w:r>
      <w:r>
        <w:rPr>
          <w:lang w:val="en-US" w:eastAsia="zh-CN"/>
        </w:rPr>
        <w:t xml:space="preserve">support the contiguous DL slots in specific TDD deployment scenario. UE should be able to support this feature when operating </w:t>
      </w:r>
      <w:r w:rsidR="009335D4">
        <w:rPr>
          <w:lang w:val="en-US" w:eastAsia="zh-CN"/>
        </w:rPr>
        <w:t>with</w:t>
      </w:r>
      <w:r>
        <w:rPr>
          <w:lang w:val="en-US" w:eastAsia="zh-CN"/>
        </w:rPr>
        <w:t xml:space="preserve"> some specific TDD </w:t>
      </w:r>
      <w:r w:rsidR="009335D4">
        <w:rPr>
          <w:lang w:val="en-US" w:eastAsia="zh-CN"/>
        </w:rPr>
        <w:t>configuration. Thus this should be added as an optional UE feature.</w:t>
      </w:r>
    </w:p>
    <w:p w14:paraId="68415555" w14:textId="54346381" w:rsidR="004E2D63" w:rsidRPr="009335D4" w:rsidRDefault="009335D4" w:rsidP="004E2D63">
      <w:pPr>
        <w:rPr>
          <w:rFonts w:eastAsiaTheme="minorEastAsia"/>
          <w:b/>
          <w:i/>
          <w:lang w:eastAsia="zh-CN"/>
        </w:rPr>
      </w:pPr>
      <w:r w:rsidRPr="009335D4">
        <w:rPr>
          <w:b/>
          <w:i/>
          <w:lang w:val="en-US" w:eastAsia="zh-CN"/>
        </w:rPr>
        <w:t xml:space="preserve">Proposal 1: Add the extension of K1 value as the UE optional feature specifically to TDD cases. </w:t>
      </w:r>
    </w:p>
    <w:p w14:paraId="7D406EB2" w14:textId="32968575" w:rsidR="004E2D63" w:rsidRDefault="004E2D63" w:rsidP="00367327">
      <w:pPr>
        <w:rPr>
          <w:rFonts w:eastAsiaTheme="minorEastAsia"/>
          <w:lang w:eastAsia="zh-CN"/>
        </w:rPr>
      </w:pPr>
    </w:p>
    <w:p w14:paraId="4546B205" w14:textId="77777777" w:rsidR="00C90919" w:rsidRPr="008602A8" w:rsidRDefault="00C90919" w:rsidP="00367327">
      <w:pPr>
        <w:rPr>
          <w:rFonts w:eastAsiaTheme="minorEastAsia"/>
          <w:lang w:eastAsia="zh-CN"/>
        </w:rPr>
      </w:pPr>
    </w:p>
    <w:p w14:paraId="32DE42BB" w14:textId="667B90AA" w:rsidR="004E2D63" w:rsidRDefault="004E2D63" w:rsidP="00367327">
      <w:pPr>
        <w:rPr>
          <w:rFonts w:eastAsiaTheme="minorEastAsia"/>
          <w:b/>
          <w:u w:val="single"/>
          <w:lang w:val="en-US" w:eastAsia="zh-CN"/>
        </w:rPr>
      </w:pPr>
      <w:r w:rsidRPr="004E2D63">
        <w:rPr>
          <w:rFonts w:eastAsiaTheme="minorEastAsia"/>
          <w:b/>
          <w:u w:val="single"/>
          <w:lang w:val="en-US" w:eastAsia="zh-CN"/>
        </w:rPr>
        <w:t>On HARQ aspects</w:t>
      </w:r>
    </w:p>
    <w:p w14:paraId="6F2E58D7" w14:textId="4CB630BC" w:rsidR="000530F1" w:rsidRDefault="000530F1" w:rsidP="000530F1">
      <w:pPr>
        <w:rPr>
          <w:rFonts w:eastAsiaTheme="minorEastAsia"/>
          <w:lang w:val="en-US" w:eastAsia="zh-CN"/>
        </w:rPr>
      </w:pPr>
      <w:r w:rsidRPr="00980124">
        <w:rPr>
          <w:rFonts w:eastAsiaTheme="minorEastAsia" w:hint="eastAsia"/>
          <w:lang w:val="en-US" w:eastAsia="zh-CN"/>
        </w:rPr>
        <w:t>2</w:t>
      </w:r>
      <w:r w:rsidRPr="00980124">
        <w:rPr>
          <w:rFonts w:eastAsiaTheme="minorEastAsia"/>
          <w:lang w:val="en-US" w:eastAsia="zh-CN"/>
        </w:rPr>
        <w:t>6</w:t>
      </w:r>
      <w:r w:rsidRPr="00980124">
        <w:rPr>
          <w:rFonts w:eastAsiaTheme="minorEastAsia" w:hint="eastAsia"/>
          <w:lang w:val="en-US" w:eastAsia="zh-CN"/>
        </w:rPr>
        <w:t>-</w:t>
      </w:r>
      <w:r w:rsidRPr="00980124">
        <w:rPr>
          <w:rFonts w:eastAsiaTheme="minorEastAsia"/>
          <w:lang w:val="en-US" w:eastAsia="zh-CN"/>
        </w:rPr>
        <w:t xml:space="preserve">5 </w:t>
      </w:r>
      <w:r>
        <w:rPr>
          <w:rFonts w:eastAsiaTheme="minorEastAsia" w:hint="eastAsia"/>
          <w:lang w:val="en-US" w:eastAsia="zh-CN"/>
        </w:rPr>
        <w:t>is</w:t>
      </w:r>
      <w:r>
        <w:rPr>
          <w:rFonts w:eastAsiaTheme="minorEastAsia"/>
          <w:lang w:val="en-US" w:eastAsia="zh-CN"/>
        </w:rPr>
        <w:t xml:space="preserve"> the UE feature for i</w:t>
      </w:r>
      <w:r w:rsidRPr="00980124">
        <w:rPr>
          <w:rFonts w:eastAsiaTheme="minorEastAsia"/>
          <w:lang w:val="en-US" w:eastAsia="zh-CN"/>
        </w:rPr>
        <w:t>ncreasing the number of HARQ processes</w:t>
      </w:r>
      <w:r>
        <w:rPr>
          <w:rFonts w:eastAsiaTheme="minorEastAsia"/>
          <w:lang w:val="en-US" w:eastAsia="zh-CN"/>
        </w:rPr>
        <w:t>. The agreements w</w:t>
      </w:r>
      <w:r w:rsidR="00A840B5">
        <w:rPr>
          <w:rFonts w:eastAsiaTheme="minorEastAsia"/>
          <w:lang w:val="en-US" w:eastAsia="zh-CN"/>
        </w:rPr>
        <w:t>ere made in RAN1 102e meeting [2</w:t>
      </w:r>
      <w:r>
        <w:rPr>
          <w:rFonts w:eastAsiaTheme="minorEastAsia"/>
          <w:lang w:val="en-US" w:eastAsia="zh-CN"/>
        </w:rPr>
        <w:t xml:space="preserve">] on the </w:t>
      </w:r>
      <w:r>
        <w:rPr>
          <w:lang w:eastAsia="x-none"/>
        </w:rPr>
        <w:t>extension of maximal HARQ process number</w:t>
      </w:r>
      <w:r>
        <w:rPr>
          <w:rFonts w:eastAsiaTheme="minorEastAsia"/>
          <w:lang w:eastAsia="zh-CN"/>
        </w:rPr>
        <w:t xml:space="preserve"> as follows: </w:t>
      </w:r>
    </w:p>
    <w:p w14:paraId="6013176E" w14:textId="7B95F9E1" w:rsidR="000530F1" w:rsidRDefault="000530F1" w:rsidP="000530F1">
      <w:pPr>
        <w:rPr>
          <w:rFonts w:eastAsiaTheme="minorEastAsia"/>
          <w:lang w:val="en-US" w:eastAsia="zh-CN"/>
        </w:rPr>
      </w:pPr>
      <w:r w:rsidRPr="004E2D63">
        <w:rPr>
          <w:rFonts w:eastAsiaTheme="minorEastAsia"/>
          <w:noProof/>
          <w:lang w:val="en-US" w:eastAsia="zh-CN"/>
        </w:rPr>
        <mc:AlternateContent>
          <mc:Choice Requires="wps">
            <w:drawing>
              <wp:anchor distT="45720" distB="45720" distL="114300" distR="114300" simplePos="0" relativeHeight="251663360" behindDoc="0" locked="0" layoutInCell="1" allowOverlap="1" wp14:anchorId="60B64BB7" wp14:editId="4C8389E4">
                <wp:simplePos x="0" y="0"/>
                <wp:positionH relativeFrom="column">
                  <wp:posOffset>0</wp:posOffset>
                </wp:positionH>
                <wp:positionV relativeFrom="paragraph">
                  <wp:posOffset>255270</wp:posOffset>
                </wp:positionV>
                <wp:extent cx="6178550" cy="1404620"/>
                <wp:effectExtent l="0" t="0" r="12700" b="1778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484EB9B7" w14:textId="77777777" w:rsidR="002E3771" w:rsidRDefault="002E3771" w:rsidP="000530F1">
                            <w:pPr>
                              <w:rPr>
                                <w:lang w:eastAsia="x-none"/>
                              </w:rPr>
                            </w:pPr>
                            <w:r>
                              <w:rPr>
                                <w:highlight w:val="green"/>
                                <w:lang w:eastAsia="x-none"/>
                              </w:rPr>
                              <w:t>Agreement:</w:t>
                            </w:r>
                          </w:p>
                          <w:p w14:paraId="0F376E83" w14:textId="77777777" w:rsidR="002E3771" w:rsidRDefault="002E3771" w:rsidP="000530F1">
                            <w:pPr>
                              <w:rPr>
                                <w:lang w:eastAsia="x-none"/>
                              </w:rPr>
                            </w:pPr>
                            <w:r>
                              <w:rPr>
                                <w:lang w:eastAsia="x-none"/>
                              </w:rPr>
                              <w:t>The extension of maximal HARQ process number can be considered with following assumptions:</w:t>
                            </w:r>
                          </w:p>
                          <w:p w14:paraId="5C974093" w14:textId="77777777" w:rsidR="002E3771" w:rsidRDefault="002E3771" w:rsidP="000530F1">
                            <w:pPr>
                              <w:numPr>
                                <w:ilvl w:val="0"/>
                                <w:numId w:val="40"/>
                              </w:numPr>
                              <w:overflowPunct/>
                              <w:autoSpaceDE/>
                              <w:autoSpaceDN/>
                              <w:adjustRightInd/>
                              <w:spacing w:before="0" w:after="0" w:line="240" w:lineRule="auto"/>
                              <w:jc w:val="left"/>
                              <w:textAlignment w:val="auto"/>
                              <w:rPr>
                                <w:lang w:eastAsia="x-none"/>
                              </w:rPr>
                            </w:pPr>
                            <w:r>
                              <w:rPr>
                                <w:lang w:eastAsia="x-none"/>
                              </w:rPr>
                              <w:t>The maximal supported HARQ process number is up to 32.</w:t>
                            </w:r>
                          </w:p>
                          <w:p w14:paraId="31952EF4" w14:textId="77777777" w:rsidR="002E3771" w:rsidRDefault="002E3771" w:rsidP="000530F1">
                            <w:pPr>
                              <w:numPr>
                                <w:ilvl w:val="0"/>
                                <w:numId w:val="40"/>
                              </w:numPr>
                              <w:overflowPunct/>
                              <w:autoSpaceDE/>
                              <w:autoSpaceDN/>
                              <w:adjustRightInd/>
                              <w:spacing w:before="0" w:after="0" w:line="240" w:lineRule="auto"/>
                              <w:jc w:val="left"/>
                              <w:textAlignment w:val="auto"/>
                              <w:rPr>
                                <w:lang w:eastAsia="x-none"/>
                              </w:rPr>
                            </w:pPr>
                            <w:r>
                              <w:rPr>
                                <w:lang w:eastAsia="x-none"/>
                              </w:rPr>
                              <w:t>FFS: Support on the maximal HARQ process number is up to UE capability</w:t>
                            </w:r>
                          </w:p>
                          <w:p w14:paraId="43372187" w14:textId="77777777" w:rsidR="002E3771" w:rsidRDefault="002E3771" w:rsidP="000530F1">
                            <w:pPr>
                              <w:numPr>
                                <w:ilvl w:val="0"/>
                                <w:numId w:val="40"/>
                              </w:numPr>
                              <w:overflowPunct/>
                              <w:autoSpaceDE/>
                              <w:autoSpaceDN/>
                              <w:adjustRightInd/>
                              <w:spacing w:before="0" w:after="0" w:line="240" w:lineRule="auto"/>
                              <w:jc w:val="left"/>
                              <w:textAlignment w:val="auto"/>
                              <w:rPr>
                                <w:lang w:eastAsia="x-none"/>
                              </w:rPr>
                            </w:pPr>
                            <w:r>
                              <w:rPr>
                                <w:lang w:eastAsia="x-none"/>
                              </w:rPr>
                              <w:t>Minimizing the impacts on specification and scheduling</w:t>
                            </w:r>
                          </w:p>
                          <w:p w14:paraId="350E1E8C" w14:textId="77777777" w:rsidR="002E3771" w:rsidRPr="00172EE5" w:rsidRDefault="002E3771" w:rsidP="000530F1">
                            <w:pPr>
                              <w:rPr>
                                <w:rFonts w:eastAsiaTheme="minorEastAsia"/>
                                <w:lang w:eastAsia="zh-CN"/>
                              </w:rPr>
                            </w:pPr>
                          </w:p>
                          <w:p w14:paraId="79B6A6EA" w14:textId="77777777" w:rsidR="002E3771" w:rsidRPr="00172EE5" w:rsidRDefault="002E3771" w:rsidP="000530F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B64BB7" id="_x0000_s1028" type="#_x0000_t202" style="position:absolute;left:0;text-align:left;margin-left:0;margin-top:20.1pt;width:48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">
                <v:textbox style="mso-fit-shape-to-text:t">
                  <w:txbxContent>
                    <w:p w14:paraId="484EB9B7" w14:textId="77777777" w:rsidR="002E3771" w:rsidRDefault="002E3771" w:rsidP="000530F1">
                      <w:pPr>
                        <w:rPr>
                          <w:lang w:eastAsia="x-none"/>
                        </w:rPr>
                      </w:pPr>
                      <w:r>
                        <w:rPr>
                          <w:highlight w:val="green"/>
                          <w:lang w:eastAsia="x-none"/>
                        </w:rPr>
                        <w:t>Agreement:</w:t>
                      </w:r>
                    </w:p>
                    <w:p w14:paraId="0F376E83" w14:textId="77777777" w:rsidR="002E3771" w:rsidRDefault="002E3771" w:rsidP="000530F1">
                      <w:pPr>
                        <w:rPr>
                          <w:lang w:eastAsia="x-none"/>
                        </w:rPr>
                      </w:pPr>
                      <w:r>
                        <w:rPr>
                          <w:lang w:eastAsia="x-none"/>
                        </w:rPr>
                        <w:t>The extension of maximal HARQ process number can be considered with following assumptions:</w:t>
                      </w:r>
                    </w:p>
                    <w:p w14:paraId="5C974093" w14:textId="77777777" w:rsidR="002E3771" w:rsidRDefault="002E3771" w:rsidP="000530F1">
                      <w:pPr>
                        <w:numPr>
                          <w:ilvl w:val="0"/>
                          <w:numId w:val="40"/>
                        </w:numPr>
                        <w:overflowPunct/>
                        <w:autoSpaceDE/>
                        <w:autoSpaceDN/>
                        <w:adjustRightInd/>
                        <w:spacing w:before="0" w:after="0" w:line="240" w:lineRule="auto"/>
                        <w:jc w:val="left"/>
                        <w:textAlignment w:val="auto"/>
                        <w:rPr>
                          <w:lang w:eastAsia="x-none"/>
                        </w:rPr>
                      </w:pPr>
                      <w:r>
                        <w:rPr>
                          <w:lang w:eastAsia="x-none"/>
                        </w:rPr>
                        <w:t>The maximal supported HARQ process number is up to 32.</w:t>
                      </w:r>
                    </w:p>
                    <w:p w14:paraId="31952EF4" w14:textId="77777777" w:rsidR="002E3771" w:rsidRDefault="002E3771" w:rsidP="000530F1">
                      <w:pPr>
                        <w:numPr>
                          <w:ilvl w:val="0"/>
                          <w:numId w:val="40"/>
                        </w:numPr>
                        <w:overflowPunct/>
                        <w:autoSpaceDE/>
                        <w:autoSpaceDN/>
                        <w:adjustRightInd/>
                        <w:spacing w:before="0" w:after="0" w:line="240" w:lineRule="auto"/>
                        <w:jc w:val="left"/>
                        <w:textAlignment w:val="auto"/>
                        <w:rPr>
                          <w:lang w:eastAsia="x-none"/>
                        </w:rPr>
                      </w:pPr>
                      <w:r>
                        <w:rPr>
                          <w:lang w:eastAsia="x-none"/>
                        </w:rPr>
                        <w:t>FFS: Support on the maximal HARQ process number is up to UE capability</w:t>
                      </w:r>
                    </w:p>
                    <w:p w14:paraId="43372187" w14:textId="77777777" w:rsidR="002E3771" w:rsidRDefault="002E3771" w:rsidP="000530F1">
                      <w:pPr>
                        <w:numPr>
                          <w:ilvl w:val="0"/>
                          <w:numId w:val="40"/>
                        </w:numPr>
                        <w:overflowPunct/>
                        <w:autoSpaceDE/>
                        <w:autoSpaceDN/>
                        <w:adjustRightInd/>
                        <w:spacing w:before="0" w:after="0" w:line="240" w:lineRule="auto"/>
                        <w:jc w:val="left"/>
                        <w:textAlignment w:val="auto"/>
                        <w:rPr>
                          <w:lang w:eastAsia="x-none"/>
                        </w:rPr>
                      </w:pPr>
                      <w:r>
                        <w:rPr>
                          <w:lang w:eastAsia="x-none"/>
                        </w:rPr>
                        <w:t>Minimizing the impacts on specification and scheduling</w:t>
                      </w:r>
                    </w:p>
                    <w:p w14:paraId="350E1E8C" w14:textId="77777777" w:rsidR="002E3771" w:rsidRPr="00172EE5" w:rsidRDefault="002E3771" w:rsidP="000530F1">
                      <w:pPr>
                        <w:rPr>
                          <w:rFonts w:eastAsiaTheme="minorEastAsia" w:hint="eastAsia"/>
                          <w:lang w:eastAsia="zh-CN"/>
                        </w:rPr>
                      </w:pPr>
                    </w:p>
                    <w:p w14:paraId="79B6A6EA" w14:textId="77777777" w:rsidR="002E3771" w:rsidRPr="00172EE5" w:rsidRDefault="002E3771" w:rsidP="000530F1"/>
                  </w:txbxContent>
                </v:textbox>
                <w10:wrap type="square"/>
              </v:shape>
            </w:pict>
          </mc:Fallback>
        </mc:AlternateContent>
      </w:r>
    </w:p>
    <w:p w14:paraId="5776C362" w14:textId="77777777" w:rsidR="000530F1" w:rsidRDefault="000530F1" w:rsidP="000530F1">
      <w:pPr>
        <w:rPr>
          <w:rFonts w:eastAsiaTheme="minorEastAsia"/>
          <w:lang w:val="en-US" w:eastAsia="zh-CN"/>
        </w:rPr>
      </w:pPr>
      <w:r>
        <w:rPr>
          <w:rFonts w:eastAsiaTheme="minorEastAsia"/>
          <w:lang w:val="en-US" w:eastAsia="zh-CN"/>
        </w:rPr>
        <w:t>Currently, no agreement is made on whether it is a UE capability to support the maximal 32 HARQ processes. Thus, we suggest to set it as the [optional] feature at this stage.</w:t>
      </w:r>
    </w:p>
    <w:p w14:paraId="02325A13" w14:textId="45013AAE" w:rsidR="000530F1" w:rsidRPr="00980124" w:rsidRDefault="00A840B5" w:rsidP="000530F1">
      <w:pPr>
        <w:rPr>
          <w:rFonts w:eastAsiaTheme="minorEastAsia"/>
          <w:b/>
          <w:i/>
          <w:lang w:val="en-US" w:eastAsia="zh-CN"/>
        </w:rPr>
      </w:pPr>
      <w:r>
        <w:rPr>
          <w:rFonts w:eastAsiaTheme="minorEastAsia"/>
          <w:b/>
          <w:i/>
          <w:lang w:val="en-US" w:eastAsia="zh-CN"/>
        </w:rPr>
        <w:lastRenderedPageBreak/>
        <w:t>Proposal 2</w:t>
      </w:r>
      <w:r w:rsidR="000530F1" w:rsidRPr="00980124">
        <w:rPr>
          <w:rFonts w:eastAsiaTheme="minorEastAsia"/>
          <w:b/>
          <w:i/>
          <w:lang w:val="en-US" w:eastAsia="zh-CN"/>
        </w:rPr>
        <w:t>: UE feature for increasing the number of HARQ processes is set as [optional] due to the lack of agreements.</w:t>
      </w:r>
    </w:p>
    <w:p w14:paraId="2D69B295" w14:textId="4FAFD8CA" w:rsidR="000530F1" w:rsidRDefault="002E3771" w:rsidP="00367327">
      <w:pPr>
        <w:rPr>
          <w:rFonts w:eastAsiaTheme="minorEastAsia"/>
          <w:lang w:val="en-US" w:eastAsia="zh-CN"/>
        </w:rPr>
      </w:pPr>
      <w:r w:rsidRPr="002E3771">
        <w:rPr>
          <w:rFonts w:eastAsiaTheme="minorEastAsia"/>
          <w:b/>
          <w:noProof/>
          <w:u w:val="single"/>
          <w:lang w:val="en-US" w:eastAsia="zh-CN"/>
        </w:rPr>
        <mc:AlternateContent>
          <mc:Choice Requires="wps">
            <w:drawing>
              <wp:anchor distT="45720" distB="45720" distL="114300" distR="114300" simplePos="0" relativeHeight="251665408" behindDoc="0" locked="0" layoutInCell="1" allowOverlap="1" wp14:anchorId="560A8C87" wp14:editId="42EE8B7A">
                <wp:simplePos x="0" y="0"/>
                <wp:positionH relativeFrom="margin">
                  <wp:posOffset>20955</wp:posOffset>
                </wp:positionH>
                <wp:positionV relativeFrom="paragraph">
                  <wp:posOffset>390525</wp:posOffset>
                </wp:positionV>
                <wp:extent cx="6289675" cy="1404620"/>
                <wp:effectExtent l="0" t="0" r="15875" b="101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675" cy="1404620"/>
                        </a:xfrm>
                        <a:prstGeom prst="rect">
                          <a:avLst/>
                        </a:prstGeom>
                        <a:solidFill>
                          <a:srgbClr val="FFFFFF"/>
                        </a:solidFill>
                        <a:ln w="9525">
                          <a:solidFill>
                            <a:srgbClr val="000000"/>
                          </a:solidFill>
                          <a:miter lim="800000"/>
                          <a:headEnd/>
                          <a:tailEnd/>
                        </a:ln>
                      </wps:spPr>
                      <wps:txbx>
                        <w:txbxContent>
                          <w:p w14:paraId="3E3A2FAD" w14:textId="77777777" w:rsidR="002E3771" w:rsidRDefault="002E3771" w:rsidP="002E3771">
                            <w:pPr>
                              <w:rPr>
                                <w:lang w:eastAsia="x-none"/>
                              </w:rPr>
                            </w:pPr>
                            <w:r w:rsidRPr="00797EDC">
                              <w:rPr>
                                <w:highlight w:val="green"/>
                                <w:lang w:eastAsia="x-none"/>
                              </w:rPr>
                              <w:t>Agreement:</w:t>
                            </w:r>
                          </w:p>
                          <w:p w14:paraId="5943C96D" w14:textId="77777777" w:rsidR="002E3771" w:rsidRDefault="002E3771" w:rsidP="002E3771">
                            <w:pPr>
                              <w:numPr>
                                <w:ilvl w:val="0"/>
                                <w:numId w:val="41"/>
                              </w:numPr>
                              <w:overflowPunct/>
                              <w:autoSpaceDE/>
                              <w:autoSpaceDN/>
                              <w:adjustRightInd/>
                              <w:spacing w:before="0" w:after="0" w:line="240" w:lineRule="auto"/>
                              <w:jc w:val="left"/>
                              <w:textAlignment w:val="auto"/>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189342AD" w14:textId="77777777" w:rsidR="002E3771" w:rsidRPr="00B666B7" w:rsidRDefault="002E3771" w:rsidP="002E3771">
                            <w:pPr>
                              <w:numPr>
                                <w:ilvl w:val="1"/>
                                <w:numId w:val="41"/>
                              </w:numPr>
                              <w:overflowPunct/>
                              <w:autoSpaceDE/>
                              <w:autoSpaceDN/>
                              <w:adjustRightInd/>
                              <w:spacing w:before="0" w:after="0" w:line="240" w:lineRule="auto"/>
                              <w:jc w:val="left"/>
                              <w:textAlignment w:val="auto"/>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399BD2CD" w14:textId="3A1CFD52" w:rsidR="002E3771" w:rsidRPr="002E3771" w:rsidRDefault="002E3771" w:rsidP="002E3771">
                            <w:pPr>
                              <w:numPr>
                                <w:ilvl w:val="1"/>
                                <w:numId w:val="41"/>
                              </w:numPr>
                              <w:overflowPunct/>
                              <w:autoSpaceDE/>
                              <w:autoSpaceDN/>
                              <w:adjustRightInd/>
                              <w:spacing w:before="0" w:after="0" w:line="240" w:lineRule="auto"/>
                              <w:jc w:val="left"/>
                              <w:textAlignment w:val="auto"/>
                              <w:rPr>
                                <w:bCs/>
                                <w:lang w:eastAsia="x-none"/>
                              </w:rPr>
                            </w:pPr>
                            <w:r w:rsidRPr="00B666B7">
                              <w:rPr>
                                <w:bCs/>
                                <w:lang w:eastAsia="x-none"/>
                              </w:rPr>
                              <w:t>Option-2: The UE will report NACK/ACK for the feedback-disabled HARQ process depending on the decoding results of corresponding PDSCH</w:t>
                            </w:r>
                          </w:p>
                          <w:p w14:paraId="35E94EE0" w14:textId="77777777" w:rsidR="002E3771" w:rsidRDefault="002E3771" w:rsidP="002E3771">
                            <w:pPr>
                              <w:rPr>
                                <w:lang w:eastAsia="x-none"/>
                              </w:rPr>
                            </w:pPr>
                            <w:r w:rsidRPr="00EB7804">
                              <w:rPr>
                                <w:highlight w:val="green"/>
                                <w:lang w:eastAsia="x-none"/>
                              </w:rPr>
                              <w:t>Agreement:</w:t>
                            </w:r>
                          </w:p>
                          <w:p w14:paraId="5283B7D9" w14:textId="77777777" w:rsidR="002E3771" w:rsidRDefault="002E3771" w:rsidP="002E3771">
                            <w:pPr>
                              <w:rPr>
                                <w:lang w:eastAsia="x-none"/>
                              </w:rPr>
                            </w:pPr>
                            <w:r>
                              <w:rPr>
                                <w:lang w:eastAsia="x-none"/>
                              </w:rPr>
                              <w:t>For Type-1 HARQ codebook, if only DCI carrying feedback-disabled HARQ process is detected by UE, one of following options should be supported:</w:t>
                            </w:r>
                          </w:p>
                          <w:p w14:paraId="2230DCD2" w14:textId="77777777" w:rsidR="002E3771" w:rsidRDefault="002E3771" w:rsidP="002E3771">
                            <w:pPr>
                              <w:numPr>
                                <w:ilvl w:val="0"/>
                                <w:numId w:val="42"/>
                              </w:numPr>
                              <w:overflowPunct/>
                              <w:autoSpaceDE/>
                              <w:autoSpaceDN/>
                              <w:adjustRightInd/>
                              <w:spacing w:before="0" w:after="0" w:line="240" w:lineRule="auto"/>
                              <w:jc w:val="left"/>
                              <w:textAlignment w:val="auto"/>
                              <w:rPr>
                                <w:lang w:eastAsia="x-none"/>
                              </w:rPr>
                            </w:pPr>
                            <w:r>
                              <w:rPr>
                                <w:lang w:eastAsia="x-none"/>
                              </w:rPr>
                              <w:t>Option-1: The UE’s behavior is same as the case if DCIs carrying the feedback-disabled and feedback-enabled HARQ processes are detected by UE</w:t>
                            </w:r>
                          </w:p>
                          <w:p w14:paraId="479427B9" w14:textId="77777777" w:rsidR="002E3771" w:rsidRDefault="002E3771" w:rsidP="002E3771">
                            <w:pPr>
                              <w:numPr>
                                <w:ilvl w:val="0"/>
                                <w:numId w:val="42"/>
                              </w:numPr>
                              <w:overflowPunct/>
                              <w:autoSpaceDE/>
                              <w:autoSpaceDN/>
                              <w:adjustRightInd/>
                              <w:spacing w:before="0" w:after="0" w:line="240" w:lineRule="auto"/>
                              <w:jc w:val="left"/>
                              <w:textAlignment w:val="auto"/>
                              <w:rPr>
                                <w:lang w:eastAsia="x-none"/>
                              </w:rPr>
                            </w:pPr>
                            <w:r>
                              <w:rPr>
                                <w:lang w:eastAsia="x-none"/>
                              </w:rPr>
                              <w:t>Option-2: The UE should skip the codebook feedback at least when the feedback is carried by PUCCH</w:t>
                            </w:r>
                          </w:p>
                          <w:p w14:paraId="19C4D055" w14:textId="77777777" w:rsidR="002E3771" w:rsidRDefault="002E3771" w:rsidP="002E3771">
                            <w:pPr>
                              <w:numPr>
                                <w:ilvl w:val="1"/>
                                <w:numId w:val="42"/>
                              </w:numPr>
                              <w:overflowPunct/>
                              <w:autoSpaceDE/>
                              <w:autoSpaceDN/>
                              <w:adjustRightInd/>
                              <w:spacing w:before="0" w:after="0" w:line="240" w:lineRule="auto"/>
                              <w:jc w:val="left"/>
                              <w:textAlignment w:val="auto"/>
                              <w:rPr>
                                <w:lang w:eastAsia="x-none"/>
                              </w:rPr>
                            </w:pPr>
                            <w:r>
                              <w:rPr>
                                <w:lang w:eastAsia="x-none"/>
                              </w:rPr>
                              <w:t xml:space="preserve">FFS: the case that feedback is carried by PUSCH. </w:t>
                            </w:r>
                          </w:p>
                          <w:p w14:paraId="3D2925B2" w14:textId="133E0A82" w:rsidR="002E3771" w:rsidRPr="002E3771" w:rsidRDefault="002E377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0A8C87" id="_x0000_s1029" type="#_x0000_t202" style="position:absolute;left:0;text-align:left;margin-left:1.65pt;margin-top:30.75pt;width:495.2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">
                <v:textbox style="mso-fit-shape-to-text:t">
                  <w:txbxContent>
                    <w:p w14:paraId="3E3A2FAD" w14:textId="77777777" w:rsidR="002E3771" w:rsidRDefault="002E3771" w:rsidP="002E3771">
                      <w:pPr>
                        <w:rPr>
                          <w:lang w:eastAsia="x-none"/>
                        </w:rPr>
                      </w:pPr>
                      <w:r w:rsidRPr="00797EDC">
                        <w:rPr>
                          <w:highlight w:val="green"/>
                          <w:lang w:eastAsia="x-none"/>
                        </w:rPr>
                        <w:t>Agreement:</w:t>
                      </w:r>
                    </w:p>
                    <w:p w14:paraId="5943C96D" w14:textId="77777777" w:rsidR="002E3771" w:rsidRDefault="002E3771" w:rsidP="002E3771">
                      <w:pPr>
                        <w:numPr>
                          <w:ilvl w:val="0"/>
                          <w:numId w:val="41"/>
                        </w:numPr>
                        <w:overflowPunct/>
                        <w:autoSpaceDE/>
                        <w:autoSpaceDN/>
                        <w:adjustRightInd/>
                        <w:spacing w:before="0" w:after="0" w:line="240" w:lineRule="auto"/>
                        <w:jc w:val="left"/>
                        <w:textAlignment w:val="auto"/>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189342AD" w14:textId="77777777" w:rsidR="002E3771" w:rsidRPr="00B666B7" w:rsidRDefault="002E3771" w:rsidP="002E3771">
                      <w:pPr>
                        <w:numPr>
                          <w:ilvl w:val="1"/>
                          <w:numId w:val="41"/>
                        </w:numPr>
                        <w:overflowPunct/>
                        <w:autoSpaceDE/>
                        <w:autoSpaceDN/>
                        <w:adjustRightInd/>
                        <w:spacing w:before="0" w:after="0" w:line="240" w:lineRule="auto"/>
                        <w:jc w:val="left"/>
                        <w:textAlignment w:val="auto"/>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399BD2CD" w14:textId="3A1CFD52" w:rsidR="002E3771" w:rsidRPr="002E3771" w:rsidRDefault="002E3771" w:rsidP="002E3771">
                      <w:pPr>
                        <w:numPr>
                          <w:ilvl w:val="1"/>
                          <w:numId w:val="41"/>
                        </w:numPr>
                        <w:overflowPunct/>
                        <w:autoSpaceDE/>
                        <w:autoSpaceDN/>
                        <w:adjustRightInd/>
                        <w:spacing w:before="0" w:after="0" w:line="240" w:lineRule="auto"/>
                        <w:jc w:val="left"/>
                        <w:textAlignment w:val="auto"/>
                        <w:rPr>
                          <w:bCs/>
                          <w:lang w:eastAsia="x-none"/>
                        </w:rPr>
                      </w:pPr>
                      <w:r w:rsidRPr="00B666B7">
                        <w:rPr>
                          <w:bCs/>
                          <w:lang w:eastAsia="x-none"/>
                        </w:rPr>
                        <w:t>Option-2: The UE will report NACK/ACK for the feedback-disabled HARQ process depending on the decoding results of corresponding PDSCH</w:t>
                      </w:r>
                    </w:p>
                    <w:p w14:paraId="35E94EE0" w14:textId="77777777" w:rsidR="002E3771" w:rsidRDefault="002E3771" w:rsidP="002E3771">
                      <w:pPr>
                        <w:rPr>
                          <w:lang w:eastAsia="x-none"/>
                        </w:rPr>
                      </w:pPr>
                      <w:r w:rsidRPr="00EB7804">
                        <w:rPr>
                          <w:highlight w:val="green"/>
                          <w:lang w:eastAsia="x-none"/>
                        </w:rPr>
                        <w:t>Agreement:</w:t>
                      </w:r>
                    </w:p>
                    <w:p w14:paraId="5283B7D9" w14:textId="77777777" w:rsidR="002E3771" w:rsidRDefault="002E3771" w:rsidP="002E3771">
                      <w:pPr>
                        <w:rPr>
                          <w:lang w:eastAsia="x-none"/>
                        </w:rPr>
                      </w:pPr>
                      <w:r>
                        <w:rPr>
                          <w:lang w:eastAsia="x-none"/>
                        </w:rPr>
                        <w:t>For Type-1 HARQ codebook, if only DCI carrying feedback-disabled HARQ process is detected by UE, one of following options should be supported:</w:t>
                      </w:r>
                    </w:p>
                    <w:p w14:paraId="2230DCD2" w14:textId="77777777" w:rsidR="002E3771" w:rsidRDefault="002E3771" w:rsidP="002E3771">
                      <w:pPr>
                        <w:numPr>
                          <w:ilvl w:val="0"/>
                          <w:numId w:val="42"/>
                        </w:numPr>
                        <w:overflowPunct/>
                        <w:autoSpaceDE/>
                        <w:autoSpaceDN/>
                        <w:adjustRightInd/>
                        <w:spacing w:before="0" w:after="0" w:line="240" w:lineRule="auto"/>
                        <w:jc w:val="left"/>
                        <w:textAlignment w:val="auto"/>
                        <w:rPr>
                          <w:lang w:eastAsia="x-none"/>
                        </w:rPr>
                      </w:pPr>
                      <w:r>
                        <w:rPr>
                          <w:lang w:eastAsia="x-none"/>
                        </w:rPr>
                        <w:t>Option-1: The UE’s behavior is same as the case if DCIs carrying the feedback-disabled and feedback-enabled HARQ processes are detected by UE</w:t>
                      </w:r>
                    </w:p>
                    <w:p w14:paraId="479427B9" w14:textId="77777777" w:rsidR="002E3771" w:rsidRDefault="002E3771" w:rsidP="002E3771">
                      <w:pPr>
                        <w:numPr>
                          <w:ilvl w:val="0"/>
                          <w:numId w:val="42"/>
                        </w:numPr>
                        <w:overflowPunct/>
                        <w:autoSpaceDE/>
                        <w:autoSpaceDN/>
                        <w:adjustRightInd/>
                        <w:spacing w:before="0" w:after="0" w:line="240" w:lineRule="auto"/>
                        <w:jc w:val="left"/>
                        <w:textAlignment w:val="auto"/>
                        <w:rPr>
                          <w:lang w:eastAsia="x-none"/>
                        </w:rPr>
                      </w:pPr>
                      <w:r>
                        <w:rPr>
                          <w:lang w:eastAsia="x-none"/>
                        </w:rPr>
                        <w:t>Option-2: The UE should skip the codebook feedback at least when the feedback is carried by PUCCH</w:t>
                      </w:r>
                    </w:p>
                    <w:p w14:paraId="19C4D055" w14:textId="77777777" w:rsidR="002E3771" w:rsidRDefault="002E3771" w:rsidP="002E3771">
                      <w:pPr>
                        <w:numPr>
                          <w:ilvl w:val="1"/>
                          <w:numId w:val="42"/>
                        </w:numPr>
                        <w:overflowPunct/>
                        <w:autoSpaceDE/>
                        <w:autoSpaceDN/>
                        <w:adjustRightInd/>
                        <w:spacing w:before="0" w:after="0" w:line="240" w:lineRule="auto"/>
                        <w:jc w:val="left"/>
                        <w:textAlignment w:val="auto"/>
                        <w:rPr>
                          <w:lang w:eastAsia="x-none"/>
                        </w:rPr>
                      </w:pPr>
                      <w:r>
                        <w:rPr>
                          <w:lang w:eastAsia="x-none"/>
                        </w:rPr>
                        <w:t xml:space="preserve">FFS: the case that feedback is carried by PUSCH. </w:t>
                      </w:r>
                    </w:p>
                    <w:p w14:paraId="3D2925B2" w14:textId="133E0A82" w:rsidR="002E3771" w:rsidRPr="002E3771" w:rsidRDefault="002E3771"/>
                  </w:txbxContent>
                </v:textbox>
                <w10:wrap type="square" anchorx="margin"/>
              </v:shape>
            </w:pict>
          </mc:Fallback>
        </mc:AlternateContent>
      </w:r>
      <w:r w:rsidR="000530F1" w:rsidRPr="00980124">
        <w:rPr>
          <w:rFonts w:eastAsiaTheme="minorEastAsia" w:hint="eastAsia"/>
          <w:lang w:val="en-US" w:eastAsia="zh-CN"/>
        </w:rPr>
        <w:t>2</w:t>
      </w:r>
      <w:r w:rsidR="000530F1" w:rsidRPr="00980124">
        <w:rPr>
          <w:rFonts w:eastAsiaTheme="minorEastAsia"/>
          <w:lang w:val="en-US" w:eastAsia="zh-CN"/>
        </w:rPr>
        <w:t>6</w:t>
      </w:r>
      <w:r w:rsidR="000530F1" w:rsidRPr="00980124">
        <w:rPr>
          <w:rFonts w:eastAsiaTheme="minorEastAsia" w:hint="eastAsia"/>
          <w:lang w:val="en-US" w:eastAsia="zh-CN"/>
        </w:rPr>
        <w:t>-</w:t>
      </w:r>
      <w:r w:rsidR="000530F1" w:rsidRPr="00980124">
        <w:rPr>
          <w:rFonts w:eastAsiaTheme="minorEastAsia"/>
          <w:lang w:val="en-US" w:eastAsia="zh-CN"/>
        </w:rPr>
        <w:t xml:space="preserve">5 </w:t>
      </w:r>
      <w:r w:rsidR="000530F1">
        <w:rPr>
          <w:rFonts w:eastAsiaTheme="minorEastAsia" w:hint="eastAsia"/>
          <w:lang w:val="en-US" w:eastAsia="zh-CN"/>
        </w:rPr>
        <w:t>is</w:t>
      </w:r>
      <w:r w:rsidR="000530F1">
        <w:rPr>
          <w:rFonts w:eastAsiaTheme="minorEastAsia"/>
          <w:lang w:val="en-US" w:eastAsia="zh-CN"/>
        </w:rPr>
        <w:t xml:space="preserve"> the UE feature for HARQ codebook enhancements. </w:t>
      </w:r>
      <w:r w:rsidR="00015C48">
        <w:rPr>
          <w:rFonts w:eastAsiaTheme="minorEastAsia"/>
          <w:lang w:val="en-US" w:eastAsia="zh-CN"/>
        </w:rPr>
        <w:t>F</w:t>
      </w:r>
      <w:r>
        <w:rPr>
          <w:rFonts w:eastAsiaTheme="minorEastAsia"/>
          <w:lang w:val="en-US" w:eastAsia="zh-CN"/>
        </w:rPr>
        <w:t xml:space="preserve">or type-1 HARQ codebook, the following </w:t>
      </w:r>
      <w:r w:rsidR="00A840B5">
        <w:rPr>
          <w:rFonts w:eastAsiaTheme="minorEastAsia"/>
          <w:lang w:val="en-US" w:eastAsia="zh-CN"/>
        </w:rPr>
        <w:t>agreements were made till now [3</w:t>
      </w:r>
      <w:r>
        <w:rPr>
          <w:rFonts w:eastAsiaTheme="minorEastAsia"/>
          <w:lang w:val="en-US" w:eastAsia="zh-CN"/>
        </w:rPr>
        <w:t>]</w:t>
      </w:r>
    </w:p>
    <w:p w14:paraId="2717E1B5" w14:textId="5FB1E867" w:rsidR="002E3771" w:rsidRDefault="002E3771" w:rsidP="00367327">
      <w:pPr>
        <w:rPr>
          <w:lang w:eastAsia="x-none"/>
        </w:rPr>
      </w:pPr>
      <w:r w:rsidRPr="002E3771">
        <w:rPr>
          <w:rFonts w:eastAsiaTheme="minorEastAsia"/>
          <w:lang w:val="en-US" w:eastAsia="zh-CN"/>
        </w:rPr>
        <w:t>In our understanding,</w:t>
      </w:r>
      <w:r>
        <w:rPr>
          <w:rFonts w:eastAsiaTheme="minorEastAsia"/>
          <w:lang w:val="en-US" w:eastAsia="zh-CN"/>
        </w:rPr>
        <w:t xml:space="preserve"> if </w:t>
      </w:r>
      <w:r w:rsidRPr="00B666B7">
        <w:rPr>
          <w:lang w:eastAsia="x-none"/>
        </w:rPr>
        <w:t>DCIs carrying the feedback-disabled and feedback-enabled HARQ processes are detected by UE</w:t>
      </w:r>
      <w:r>
        <w:rPr>
          <w:lang w:eastAsia="x-none"/>
        </w:rPr>
        <w:t xml:space="preserve">, option 2 is the legacy UE behaviour. Thus to our understanding, it is still not decided yet enhancements for type-1 HARQ codebook is </w:t>
      </w:r>
      <w:r w:rsidR="00015C48">
        <w:rPr>
          <w:lang w:eastAsia="x-none"/>
        </w:rPr>
        <w:t>needed</w:t>
      </w:r>
      <w:r w:rsidR="00E420C3">
        <w:rPr>
          <w:lang w:eastAsia="x-none"/>
        </w:rPr>
        <w:t xml:space="preserve"> at this stage. I</w:t>
      </w:r>
      <w:r>
        <w:rPr>
          <w:lang w:eastAsia="x-none"/>
        </w:rPr>
        <w:t>t is suggested to remove the description of “</w:t>
      </w:r>
      <w:r w:rsidRPr="002E3771">
        <w:rPr>
          <w:lang w:eastAsia="x-none"/>
        </w:rPr>
        <w:t>Enhancement on Type-1 HARQ codebook in NTN</w:t>
      </w:r>
      <w:r>
        <w:rPr>
          <w:lang w:eastAsia="x-none"/>
        </w:rPr>
        <w:t>” in the UE feature 26-5.</w:t>
      </w:r>
    </w:p>
    <w:p w14:paraId="2DAA5D82" w14:textId="6C8D889F" w:rsidR="002E3771" w:rsidRPr="002E3771" w:rsidRDefault="00651B8E" w:rsidP="00367327">
      <w:pPr>
        <w:rPr>
          <w:rFonts w:eastAsiaTheme="minorEastAsia"/>
          <w:b/>
          <w:i/>
          <w:lang w:val="en-US" w:eastAsia="zh-CN"/>
        </w:rPr>
      </w:pPr>
      <w:r>
        <w:rPr>
          <w:b/>
          <w:i/>
          <w:lang w:eastAsia="x-none"/>
        </w:rPr>
        <w:t>Proposal 3</w:t>
      </w:r>
      <w:bookmarkStart w:id="1" w:name="_GoBack"/>
      <w:bookmarkEnd w:id="1"/>
      <w:r w:rsidR="002E3771" w:rsidRPr="002E3771">
        <w:rPr>
          <w:b/>
          <w:i/>
          <w:lang w:eastAsia="x-none"/>
        </w:rPr>
        <w:t>: Remove the description of “Enhancement on Type-1 HARQ codebook in NTN” in the UE feature 26-5.</w:t>
      </w:r>
    </w:p>
    <w:p w14:paraId="7DF60076" w14:textId="77777777" w:rsidR="002E3771" w:rsidRDefault="002E3771" w:rsidP="00367327">
      <w:pPr>
        <w:rPr>
          <w:rFonts w:eastAsiaTheme="minorEastAsia"/>
          <w:b/>
          <w:u w:val="single"/>
          <w:lang w:val="en-US" w:eastAsia="zh-CN"/>
        </w:rPr>
      </w:pPr>
    </w:p>
    <w:p w14:paraId="3DA8230B" w14:textId="77777777" w:rsidR="002E3771" w:rsidRPr="002E3771" w:rsidRDefault="002E3771" w:rsidP="00367327">
      <w:pPr>
        <w:rPr>
          <w:rFonts w:eastAsiaTheme="minorEastAsia"/>
          <w:b/>
          <w:u w:val="single"/>
          <w:lang w:val="en-US" w:eastAsia="zh-CN"/>
        </w:rPr>
      </w:pPr>
    </w:p>
    <w:p w14:paraId="1BAF67EC" w14:textId="77777777" w:rsidR="002E3771" w:rsidRDefault="002E3771" w:rsidP="00367327">
      <w:pPr>
        <w:rPr>
          <w:rFonts w:eastAsiaTheme="minorEastAsia"/>
          <w:b/>
          <w:u w:val="single"/>
          <w:lang w:val="en-US" w:eastAsia="zh-CN"/>
        </w:rPr>
      </w:pPr>
    </w:p>
    <w:p w14:paraId="364C2C6A" w14:textId="77777777" w:rsidR="002E3771" w:rsidRDefault="002E3771" w:rsidP="00367327">
      <w:pPr>
        <w:rPr>
          <w:rFonts w:eastAsiaTheme="minorEastAsia"/>
          <w:b/>
          <w:u w:val="single"/>
          <w:lang w:val="en-US" w:eastAsia="zh-CN"/>
        </w:rPr>
      </w:pPr>
    </w:p>
    <w:p w14:paraId="202F5AF7" w14:textId="382982D1" w:rsidR="004E2D63" w:rsidRDefault="004E2D63" w:rsidP="00367327">
      <w:pPr>
        <w:rPr>
          <w:rFonts w:eastAsiaTheme="minorEastAsia"/>
          <w:b/>
          <w:u w:val="single"/>
          <w:lang w:val="en-US" w:eastAsia="zh-CN"/>
        </w:rPr>
      </w:pPr>
      <w:r w:rsidRPr="004E2D63">
        <w:rPr>
          <w:rFonts w:eastAsiaTheme="minorEastAsia"/>
          <w:b/>
          <w:u w:val="single"/>
          <w:lang w:val="en-US" w:eastAsia="zh-CN"/>
        </w:rPr>
        <w:t>On beam management/polarization aspects</w:t>
      </w:r>
    </w:p>
    <w:p w14:paraId="2E194D8C" w14:textId="39DA9CDF" w:rsidR="002E3771" w:rsidRDefault="009E298F" w:rsidP="00367327">
      <w:pPr>
        <w:rPr>
          <w:rFonts w:eastAsiaTheme="minorEastAsia"/>
          <w:lang w:val="en-US" w:eastAsia="zh-CN"/>
        </w:rPr>
      </w:pPr>
      <w:r w:rsidRPr="002E3771">
        <w:rPr>
          <w:rFonts w:eastAsiaTheme="minorEastAsia"/>
          <w:b/>
          <w:noProof/>
          <w:u w:val="single"/>
          <w:lang w:val="en-US" w:eastAsia="zh-CN"/>
        </w:rPr>
        <mc:AlternateContent>
          <mc:Choice Requires="wps">
            <w:drawing>
              <wp:anchor distT="45720" distB="45720" distL="114300" distR="114300" simplePos="0" relativeHeight="251667456" behindDoc="0" locked="0" layoutInCell="1" allowOverlap="1" wp14:anchorId="51ABEB83" wp14:editId="3E4B2281">
                <wp:simplePos x="0" y="0"/>
                <wp:positionH relativeFrom="margin">
                  <wp:posOffset>-635</wp:posOffset>
                </wp:positionH>
                <wp:positionV relativeFrom="paragraph">
                  <wp:posOffset>542925</wp:posOffset>
                </wp:positionV>
                <wp:extent cx="6289675" cy="1404620"/>
                <wp:effectExtent l="0" t="0" r="15875" b="1016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675" cy="1404620"/>
                        </a:xfrm>
                        <a:prstGeom prst="rect">
                          <a:avLst/>
                        </a:prstGeom>
                        <a:solidFill>
                          <a:srgbClr val="FFFFFF"/>
                        </a:solidFill>
                        <a:ln w="9525">
                          <a:solidFill>
                            <a:srgbClr val="000000"/>
                          </a:solidFill>
                          <a:miter lim="800000"/>
                          <a:headEnd/>
                          <a:tailEnd/>
                        </a:ln>
                      </wps:spPr>
                      <wps:txbx>
                        <w:txbxContent>
                          <w:p w14:paraId="5295CD2A" w14:textId="77777777" w:rsidR="009E298F" w:rsidRPr="0058565B" w:rsidRDefault="009E298F" w:rsidP="009E298F">
                            <w:pPr>
                              <w:shd w:val="clear" w:color="auto" w:fill="FFFFFF"/>
                              <w:rPr>
                                <w:rFonts w:eastAsia="宋体"/>
                                <w:color w:val="000000"/>
                                <w:u w:val="single"/>
                              </w:rPr>
                            </w:pPr>
                            <w:r w:rsidRPr="0058565B">
                              <w:rPr>
                                <w:rFonts w:eastAsia="宋体"/>
                                <w:color w:val="000000"/>
                                <w:u w:val="single"/>
                              </w:rPr>
                              <w:t>Conclusion:</w:t>
                            </w:r>
                          </w:p>
                          <w:p w14:paraId="57ECA9DC" w14:textId="77777777" w:rsidR="009E298F" w:rsidRPr="0058565B" w:rsidRDefault="009E298F" w:rsidP="009E298F">
                            <w:pPr>
                              <w:shd w:val="clear" w:color="auto" w:fill="FFFFFF"/>
                              <w:rPr>
                                <w:rFonts w:eastAsia="宋体"/>
                                <w:color w:val="000000"/>
                              </w:rPr>
                            </w:pPr>
                            <w:r w:rsidRPr="0058565B">
                              <w:rPr>
                                <w:rFonts w:eastAsia="宋体"/>
                                <w:color w:val="000000"/>
                              </w:rPr>
                              <w:t>Discuss the necessity of reporting UE polarization capability considering at least following aspects, </w:t>
                            </w:r>
                          </w:p>
                          <w:p w14:paraId="2D3D4274"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Deployment scenarios.</w:t>
                            </w:r>
                          </w:p>
                          <w:p w14:paraId="222B1457"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UE implementation aspects with respect to polarization.</w:t>
                            </w:r>
                          </w:p>
                          <w:p w14:paraId="69B809EC"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Satellite implementation aspects for switching between polarization states.</w:t>
                            </w:r>
                          </w:p>
                          <w:p w14:paraId="5461850A"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Satellite implementation aspects for realizing multiplexing of UEs having different polarization capabilities.</w:t>
                            </w:r>
                          </w:p>
                          <w:p w14:paraId="7FFC0D35" w14:textId="77777777" w:rsidR="009E298F" w:rsidRPr="009E298F" w:rsidRDefault="009E298F" w:rsidP="009E298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ABEB83" id="_x0000_s1030" type="#_x0000_t202" style="position:absolute;left:0;text-align:left;margin-left:-.05pt;margin-top:42.75pt;width:495.2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">
                <v:textbox style="mso-fit-shape-to-text:t">
                  <w:txbxContent>
                    <w:p w14:paraId="5295CD2A" w14:textId="77777777" w:rsidR="009E298F" w:rsidRPr="0058565B" w:rsidRDefault="009E298F" w:rsidP="009E298F">
                      <w:pPr>
                        <w:shd w:val="clear" w:color="auto" w:fill="FFFFFF"/>
                        <w:rPr>
                          <w:rFonts w:eastAsia="宋体"/>
                          <w:color w:val="000000"/>
                          <w:u w:val="single"/>
                        </w:rPr>
                      </w:pPr>
                      <w:r w:rsidRPr="0058565B">
                        <w:rPr>
                          <w:rFonts w:eastAsia="宋体"/>
                          <w:color w:val="000000"/>
                          <w:u w:val="single"/>
                        </w:rPr>
                        <w:t>Conclusion:</w:t>
                      </w:r>
                    </w:p>
                    <w:p w14:paraId="57ECA9DC" w14:textId="77777777" w:rsidR="009E298F" w:rsidRPr="0058565B" w:rsidRDefault="009E298F" w:rsidP="009E298F">
                      <w:pPr>
                        <w:shd w:val="clear" w:color="auto" w:fill="FFFFFF"/>
                        <w:rPr>
                          <w:rFonts w:eastAsia="宋体"/>
                          <w:color w:val="000000"/>
                        </w:rPr>
                      </w:pPr>
                      <w:r w:rsidRPr="0058565B">
                        <w:rPr>
                          <w:rFonts w:eastAsia="宋体"/>
                          <w:color w:val="000000"/>
                        </w:rPr>
                        <w:t>Discuss the necessity of reporting UE polarization capability considering at least following aspects, </w:t>
                      </w:r>
                    </w:p>
                    <w:p w14:paraId="2D3D4274"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Deployment scenarios.</w:t>
                      </w:r>
                    </w:p>
                    <w:p w14:paraId="222B1457"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UE implementation aspects with respect to polarization.</w:t>
                      </w:r>
                    </w:p>
                    <w:p w14:paraId="69B809EC"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Satellite implementation aspects for switching between polarization states.</w:t>
                      </w:r>
                    </w:p>
                    <w:p w14:paraId="5461850A" w14:textId="77777777" w:rsidR="009E298F" w:rsidRPr="0058565B" w:rsidRDefault="009E298F" w:rsidP="009E298F">
                      <w:pPr>
                        <w:numPr>
                          <w:ilvl w:val="0"/>
                          <w:numId w:val="43"/>
                        </w:numPr>
                        <w:shd w:val="clear" w:color="auto" w:fill="FFFFFF"/>
                        <w:overflowPunct/>
                        <w:autoSpaceDE/>
                        <w:autoSpaceDN/>
                        <w:adjustRightInd/>
                        <w:spacing w:before="0" w:after="0" w:line="240" w:lineRule="auto"/>
                        <w:jc w:val="left"/>
                        <w:textAlignment w:val="auto"/>
                        <w:rPr>
                          <w:rFonts w:eastAsia="宋体"/>
                          <w:color w:val="000000"/>
                        </w:rPr>
                      </w:pPr>
                      <w:r w:rsidRPr="0058565B">
                        <w:rPr>
                          <w:rFonts w:eastAsia="宋体"/>
                          <w:color w:val="000000"/>
                        </w:rPr>
                        <w:t>Satellite implementation aspects for realizing multiplexing of UEs having different polarization capabilities.</w:t>
                      </w:r>
                    </w:p>
                    <w:p w14:paraId="7FFC0D35" w14:textId="77777777" w:rsidR="009E298F" w:rsidRPr="009E298F" w:rsidRDefault="009E298F" w:rsidP="009E298F"/>
                  </w:txbxContent>
                </v:textbox>
                <w10:wrap type="square" anchorx="margin"/>
              </v:shape>
            </w:pict>
          </mc:Fallback>
        </mc:AlternateContent>
      </w:r>
      <w:r w:rsidR="002E3771" w:rsidRPr="002E3771">
        <w:rPr>
          <w:rFonts w:eastAsiaTheme="minorEastAsia"/>
          <w:lang w:val="en-US" w:eastAsia="zh-CN"/>
        </w:rPr>
        <w:t>26-8 is the UE feature for s</w:t>
      </w:r>
      <w:r w:rsidR="002E3771" w:rsidRPr="002E3771">
        <w:rPr>
          <w:rFonts w:eastAsiaTheme="minorEastAsia" w:hint="eastAsia"/>
          <w:lang w:val="en-US" w:eastAsia="zh-CN"/>
        </w:rPr>
        <w:t>upport of polarization signalling in NR NTN</w:t>
      </w:r>
      <w:r w:rsidR="002E3771">
        <w:rPr>
          <w:rFonts w:eastAsiaTheme="minorEastAsia"/>
          <w:lang w:val="en-US" w:eastAsia="zh-CN"/>
        </w:rPr>
        <w:t xml:space="preserve">. </w:t>
      </w:r>
      <w:r>
        <w:rPr>
          <w:rFonts w:eastAsiaTheme="minorEastAsia"/>
          <w:lang w:val="en-US" w:eastAsia="zh-CN"/>
        </w:rPr>
        <w:t>The UE</w:t>
      </w:r>
      <w:r w:rsidRPr="009E298F">
        <w:t xml:space="preserve"> </w:t>
      </w:r>
      <w:r w:rsidRPr="009E298F">
        <w:rPr>
          <w:rFonts w:eastAsiaTheme="minorEastAsia"/>
          <w:lang w:val="en-US" w:eastAsia="zh-CN"/>
        </w:rPr>
        <w:t>polarization capability (RHCP, LHCP, Linear</w:t>
      </w:r>
      <w:r w:rsidR="00E420C3">
        <w:rPr>
          <w:rFonts w:eastAsiaTheme="minorEastAsia"/>
          <w:lang w:val="en-US" w:eastAsia="zh-CN"/>
        </w:rPr>
        <w:t>)</w:t>
      </w:r>
      <w:r>
        <w:rPr>
          <w:rFonts w:eastAsiaTheme="minorEastAsia"/>
          <w:lang w:val="en-US" w:eastAsia="zh-CN"/>
        </w:rPr>
        <w:t xml:space="preserve"> is described as one component of UE feature. However, it is not concluded that it is a UE c</w:t>
      </w:r>
      <w:r w:rsidR="00A840B5">
        <w:rPr>
          <w:rFonts w:eastAsiaTheme="minorEastAsia"/>
          <w:lang w:val="en-US" w:eastAsia="zh-CN"/>
        </w:rPr>
        <w:t>apability yet as indicated in [4</w:t>
      </w:r>
      <w:r>
        <w:rPr>
          <w:rFonts w:eastAsiaTheme="minorEastAsia"/>
          <w:lang w:val="en-US" w:eastAsia="zh-CN"/>
        </w:rPr>
        <w:t>]. Thus it is suggested to remove “</w:t>
      </w:r>
      <w:r w:rsidRPr="009E298F">
        <w:rPr>
          <w:rFonts w:eastAsiaTheme="minorEastAsia"/>
          <w:lang w:val="en-US" w:eastAsia="zh-CN"/>
        </w:rPr>
        <w:t>UE polarization capability (RHCP, LHCP, Linear)</w:t>
      </w:r>
      <w:r>
        <w:rPr>
          <w:rFonts w:eastAsiaTheme="minorEastAsia"/>
          <w:lang w:val="en-US" w:eastAsia="zh-CN"/>
        </w:rPr>
        <w:t>” in the description.</w:t>
      </w:r>
    </w:p>
    <w:p w14:paraId="283C4D34" w14:textId="6991C69E" w:rsidR="009E298F" w:rsidRPr="008C3999" w:rsidRDefault="008C3999" w:rsidP="00367327">
      <w:pPr>
        <w:rPr>
          <w:rFonts w:eastAsiaTheme="minorEastAsia"/>
          <w:b/>
          <w:i/>
          <w:lang w:val="en-US" w:eastAsia="zh-CN"/>
        </w:rPr>
      </w:pPr>
      <w:r w:rsidRPr="008C3999">
        <w:rPr>
          <w:rFonts w:eastAsiaTheme="minorEastAsia"/>
          <w:b/>
          <w:i/>
          <w:lang w:val="en-US" w:eastAsia="zh-CN"/>
        </w:rPr>
        <w:t xml:space="preserve">Proposal </w:t>
      </w:r>
      <w:r w:rsidR="00A840B5">
        <w:rPr>
          <w:rFonts w:eastAsiaTheme="minorEastAsia"/>
          <w:b/>
          <w:i/>
          <w:lang w:val="en-US" w:eastAsia="zh-CN"/>
        </w:rPr>
        <w:t>4</w:t>
      </w:r>
      <w:r w:rsidRPr="008C3999">
        <w:rPr>
          <w:rFonts w:eastAsiaTheme="minorEastAsia"/>
          <w:b/>
          <w:i/>
          <w:lang w:val="en-US" w:eastAsia="zh-CN"/>
        </w:rPr>
        <w:t>:</w:t>
      </w:r>
      <w:r w:rsidRPr="008C3999">
        <w:rPr>
          <w:b/>
          <w:i/>
          <w:lang w:eastAsia="x-none"/>
        </w:rPr>
        <w:t xml:space="preserve"> Remove the description of “</w:t>
      </w:r>
      <w:r w:rsidRPr="008C3999">
        <w:rPr>
          <w:rFonts w:eastAsiaTheme="minorEastAsia"/>
          <w:b/>
          <w:i/>
          <w:lang w:val="en-US" w:eastAsia="zh-CN"/>
        </w:rPr>
        <w:t>UE polarization capability (RHCP, LHCP, Linear)</w:t>
      </w:r>
      <w:r w:rsidRPr="008C3999">
        <w:rPr>
          <w:b/>
          <w:i/>
          <w:lang w:eastAsia="x-none"/>
        </w:rPr>
        <w:t>” in the UE feature 26-8.</w:t>
      </w:r>
    </w:p>
    <w:p w14:paraId="0ADC7F18" w14:textId="279B75BB" w:rsidR="00111FED" w:rsidRPr="00A06690" w:rsidRDefault="00111FED" w:rsidP="001F3A3D">
      <w:pPr>
        <w:pStyle w:val="1"/>
      </w:pPr>
      <w:r w:rsidRPr="00A06690">
        <w:t>Conclusions</w:t>
      </w:r>
    </w:p>
    <w:p w14:paraId="707EE6B7" w14:textId="07150860" w:rsidR="007C4408" w:rsidRDefault="00DF573B" w:rsidP="008C3999">
      <w:pPr>
        <w:pStyle w:val="3GPPNormalText"/>
        <w:rPr>
          <w:lang w:eastAsia="zh-CN"/>
        </w:rPr>
      </w:pPr>
      <w:r w:rsidRPr="00A06690">
        <w:rPr>
          <w:szCs w:val="20"/>
          <w:lang w:val="en-GB" w:eastAsia="zh-CN"/>
        </w:rPr>
        <w:lastRenderedPageBreak/>
        <w:t>I</w:t>
      </w:r>
      <w:r w:rsidRPr="00A06690">
        <w:rPr>
          <w:rFonts w:hint="eastAsia"/>
          <w:szCs w:val="20"/>
          <w:lang w:val="en-GB" w:eastAsia="zh-CN"/>
        </w:rPr>
        <w:t xml:space="preserve">n </w:t>
      </w:r>
      <w:r w:rsidRPr="00A06690">
        <w:rPr>
          <w:szCs w:val="20"/>
          <w:lang w:val="en-GB" w:eastAsia="zh-CN"/>
        </w:rPr>
        <w:t xml:space="preserve">this contribution, we </w:t>
      </w:r>
      <w:r w:rsidR="008C3999">
        <w:rPr>
          <w:lang w:eastAsia="zh-CN"/>
        </w:rPr>
        <w:t>present the discussion on the UE features for NR NTN. Based on our analysis, we have the following proposals:</w:t>
      </w:r>
    </w:p>
    <w:p w14:paraId="0BD11A6B" w14:textId="40D321CA" w:rsidR="008C3999" w:rsidRDefault="008C3999" w:rsidP="008C3999">
      <w:pPr>
        <w:rPr>
          <w:b/>
          <w:i/>
          <w:lang w:val="en-US" w:eastAsia="zh-CN"/>
        </w:rPr>
      </w:pPr>
      <w:r w:rsidRPr="009335D4">
        <w:rPr>
          <w:b/>
          <w:i/>
          <w:lang w:val="en-US" w:eastAsia="zh-CN"/>
        </w:rPr>
        <w:t xml:space="preserve">Proposal 1: Add the extension of K1 value as the UE optional feature specifically to TDD cases. </w:t>
      </w:r>
    </w:p>
    <w:p w14:paraId="4CEF0312" w14:textId="07E08E74" w:rsidR="008C3999" w:rsidRPr="008C3999" w:rsidRDefault="00A840B5" w:rsidP="008C3999">
      <w:pPr>
        <w:rPr>
          <w:rFonts w:eastAsiaTheme="minorEastAsia"/>
          <w:b/>
          <w:i/>
          <w:lang w:val="en-US" w:eastAsia="zh-CN"/>
        </w:rPr>
      </w:pPr>
      <w:r>
        <w:rPr>
          <w:rFonts w:eastAsiaTheme="minorEastAsia"/>
          <w:b/>
          <w:i/>
          <w:lang w:val="en-US" w:eastAsia="zh-CN"/>
        </w:rPr>
        <w:t>Proposal 2</w:t>
      </w:r>
      <w:r w:rsidR="008C3999" w:rsidRPr="00980124">
        <w:rPr>
          <w:rFonts w:eastAsiaTheme="minorEastAsia"/>
          <w:b/>
          <w:i/>
          <w:lang w:val="en-US" w:eastAsia="zh-CN"/>
        </w:rPr>
        <w:t>: UE feature for increasing the number of HARQ processes is set as [optional] due to the lack of agreements.</w:t>
      </w:r>
    </w:p>
    <w:p w14:paraId="48821AE9" w14:textId="39FCFC0B" w:rsidR="008C3999" w:rsidRPr="002E3771" w:rsidRDefault="00A840B5" w:rsidP="008C3999">
      <w:pPr>
        <w:rPr>
          <w:rFonts w:eastAsiaTheme="minorEastAsia"/>
          <w:b/>
          <w:i/>
          <w:lang w:val="en-US" w:eastAsia="zh-CN"/>
        </w:rPr>
      </w:pPr>
      <w:r>
        <w:rPr>
          <w:b/>
          <w:i/>
          <w:lang w:eastAsia="x-none"/>
        </w:rPr>
        <w:t>Proposal 3</w:t>
      </w:r>
      <w:r w:rsidR="008C3999" w:rsidRPr="002E3771">
        <w:rPr>
          <w:b/>
          <w:i/>
          <w:lang w:eastAsia="x-none"/>
        </w:rPr>
        <w:t>: Remove the description of “Enhancement on Type-1 HARQ codebook in NTN” in the UE feature 26-5.</w:t>
      </w:r>
    </w:p>
    <w:p w14:paraId="29117284" w14:textId="714522B8" w:rsidR="008C3999" w:rsidRPr="008C3999" w:rsidRDefault="00A840B5" w:rsidP="008C3999">
      <w:pPr>
        <w:rPr>
          <w:rFonts w:eastAsiaTheme="minorEastAsia"/>
          <w:b/>
          <w:i/>
          <w:lang w:val="en-US" w:eastAsia="zh-CN"/>
        </w:rPr>
      </w:pPr>
      <w:r>
        <w:rPr>
          <w:rFonts w:eastAsiaTheme="minorEastAsia"/>
          <w:b/>
          <w:i/>
          <w:lang w:val="en-US" w:eastAsia="zh-CN"/>
        </w:rPr>
        <w:t>Proposal 4</w:t>
      </w:r>
      <w:r w:rsidR="008C3999" w:rsidRPr="008C3999">
        <w:rPr>
          <w:rFonts w:eastAsiaTheme="minorEastAsia"/>
          <w:b/>
          <w:i/>
          <w:lang w:val="en-US" w:eastAsia="zh-CN"/>
        </w:rPr>
        <w:t>:</w:t>
      </w:r>
      <w:r w:rsidR="008C3999" w:rsidRPr="008C3999">
        <w:rPr>
          <w:b/>
          <w:i/>
          <w:lang w:eastAsia="x-none"/>
        </w:rPr>
        <w:t xml:space="preserve"> Remove the description of “</w:t>
      </w:r>
      <w:r w:rsidR="008C3999" w:rsidRPr="008C3999">
        <w:rPr>
          <w:rFonts w:eastAsiaTheme="minorEastAsia"/>
          <w:b/>
          <w:i/>
          <w:lang w:val="en-US" w:eastAsia="zh-CN"/>
        </w:rPr>
        <w:t>UE polarization capability (RHCP, LHCP, Linear)</w:t>
      </w:r>
      <w:r w:rsidR="008C3999" w:rsidRPr="008C3999">
        <w:rPr>
          <w:b/>
          <w:i/>
          <w:lang w:eastAsia="x-none"/>
        </w:rPr>
        <w:t>” in the UE feature 26-8.</w:t>
      </w:r>
    </w:p>
    <w:p w14:paraId="5EE76390" w14:textId="77777777" w:rsidR="00494984" w:rsidRPr="00A06690" w:rsidRDefault="00494984" w:rsidP="00464412">
      <w:pPr>
        <w:rPr>
          <w:rFonts w:eastAsia="PMingLiU"/>
          <w:b/>
          <w:i/>
          <w:lang w:val="en-US"/>
        </w:rPr>
      </w:pPr>
    </w:p>
    <w:p w14:paraId="0E9CA156" w14:textId="77777777" w:rsidR="00B24292" w:rsidRPr="00A06690" w:rsidRDefault="00EC10C0" w:rsidP="00371E3F">
      <w:pPr>
        <w:pStyle w:val="aff2"/>
      </w:pPr>
      <w:r w:rsidRPr="00A06690">
        <w:t>References</w:t>
      </w:r>
      <w:bookmarkStart w:id="2" w:name="_Ref506568004"/>
    </w:p>
    <w:bookmarkEnd w:id="2"/>
    <w:p w14:paraId="1E8C62B8" w14:textId="4B84AD6F" w:rsidR="00EB4EBA" w:rsidRDefault="00EB4EBA" w:rsidP="00EB4EBA">
      <w:pPr>
        <w:numPr>
          <w:ilvl w:val="0"/>
          <w:numId w:val="39"/>
        </w:numPr>
        <w:tabs>
          <w:tab w:val="left" w:pos="2127"/>
        </w:tabs>
        <w:overflowPunct/>
        <w:autoSpaceDE/>
        <w:autoSpaceDN/>
        <w:adjustRightInd/>
        <w:spacing w:before="0" w:after="0" w:line="240" w:lineRule="auto"/>
        <w:textAlignment w:val="auto"/>
        <w:outlineLvl w:val="0"/>
        <w:rPr>
          <w:noProof/>
          <w:sz w:val="21"/>
        </w:rPr>
      </w:pPr>
      <w:r>
        <w:rPr>
          <w:noProof/>
          <w:sz w:val="21"/>
        </w:rPr>
        <w:t>R1-2108679, Preliminary RAN1 UE features list for Rel-17 NR, Moderaators (AT&amp;T, NTT DOCOMO), RAN1#106-e, August 16</w:t>
      </w:r>
      <w:r w:rsidRPr="004269EA">
        <w:rPr>
          <w:noProof/>
          <w:sz w:val="21"/>
          <w:vertAlign w:val="superscript"/>
        </w:rPr>
        <w:t>th</w:t>
      </w:r>
      <w:r>
        <w:rPr>
          <w:noProof/>
          <w:sz w:val="21"/>
        </w:rPr>
        <w:t xml:space="preserve"> – 27</w:t>
      </w:r>
      <w:r w:rsidRPr="004269EA">
        <w:rPr>
          <w:noProof/>
          <w:sz w:val="21"/>
          <w:vertAlign w:val="superscript"/>
        </w:rPr>
        <w:t>th</w:t>
      </w:r>
      <w:r>
        <w:rPr>
          <w:noProof/>
          <w:sz w:val="21"/>
        </w:rPr>
        <w:t>, 2021</w:t>
      </w:r>
    </w:p>
    <w:p w14:paraId="749D88A6" w14:textId="2601F997" w:rsidR="00172EE5" w:rsidRDefault="00172EE5" w:rsidP="00634493">
      <w:pPr>
        <w:numPr>
          <w:ilvl w:val="0"/>
          <w:numId w:val="39"/>
        </w:numPr>
        <w:tabs>
          <w:tab w:val="left" w:pos="2127"/>
        </w:tabs>
        <w:overflowPunct/>
        <w:autoSpaceDE/>
        <w:autoSpaceDN/>
        <w:adjustRightInd/>
        <w:spacing w:before="0" w:after="0" w:line="240" w:lineRule="auto"/>
        <w:textAlignment w:val="auto"/>
        <w:outlineLvl w:val="0"/>
        <w:rPr>
          <w:noProof/>
          <w:sz w:val="21"/>
        </w:rPr>
      </w:pPr>
      <w:r>
        <w:rPr>
          <w:noProof/>
          <w:sz w:val="21"/>
        </w:rPr>
        <w:t>3GPP RAN1 102e chairman-note</w:t>
      </w:r>
    </w:p>
    <w:p w14:paraId="3EDFF3EF" w14:textId="176A3892" w:rsidR="002E3771" w:rsidRPr="00634493" w:rsidRDefault="002E3771" w:rsidP="002E3771">
      <w:pPr>
        <w:numPr>
          <w:ilvl w:val="0"/>
          <w:numId w:val="39"/>
        </w:numPr>
        <w:tabs>
          <w:tab w:val="left" w:pos="2127"/>
        </w:tabs>
        <w:overflowPunct/>
        <w:autoSpaceDE/>
        <w:autoSpaceDN/>
        <w:adjustRightInd/>
        <w:spacing w:before="0" w:after="0" w:line="240" w:lineRule="auto"/>
        <w:textAlignment w:val="auto"/>
        <w:outlineLvl w:val="0"/>
        <w:rPr>
          <w:noProof/>
          <w:sz w:val="21"/>
        </w:rPr>
      </w:pPr>
      <w:r>
        <w:rPr>
          <w:noProof/>
          <w:sz w:val="21"/>
        </w:rPr>
        <w:t>3GPP RAN1 106e chairman-note</w:t>
      </w:r>
    </w:p>
    <w:p w14:paraId="4BB92588" w14:textId="45A32DA4" w:rsidR="009E298F" w:rsidRPr="00634493" w:rsidRDefault="009E298F" w:rsidP="009E298F">
      <w:pPr>
        <w:numPr>
          <w:ilvl w:val="0"/>
          <w:numId w:val="39"/>
        </w:numPr>
        <w:tabs>
          <w:tab w:val="left" w:pos="2127"/>
        </w:tabs>
        <w:overflowPunct/>
        <w:autoSpaceDE/>
        <w:autoSpaceDN/>
        <w:adjustRightInd/>
        <w:spacing w:before="0" w:after="0" w:line="240" w:lineRule="auto"/>
        <w:textAlignment w:val="auto"/>
        <w:outlineLvl w:val="0"/>
        <w:rPr>
          <w:noProof/>
          <w:sz w:val="21"/>
        </w:rPr>
      </w:pPr>
      <w:r>
        <w:rPr>
          <w:noProof/>
          <w:sz w:val="21"/>
        </w:rPr>
        <w:t>3GPP RAN1 104e chairman-note</w:t>
      </w:r>
    </w:p>
    <w:p w14:paraId="34D0D04D" w14:textId="77777777" w:rsidR="002E3771" w:rsidRPr="00634493" w:rsidRDefault="002E3771" w:rsidP="009E298F">
      <w:pPr>
        <w:tabs>
          <w:tab w:val="left" w:pos="2127"/>
        </w:tabs>
        <w:overflowPunct/>
        <w:autoSpaceDE/>
        <w:autoSpaceDN/>
        <w:adjustRightInd/>
        <w:spacing w:before="0" w:after="0" w:line="240" w:lineRule="auto"/>
        <w:textAlignment w:val="auto"/>
        <w:outlineLvl w:val="0"/>
        <w:rPr>
          <w:noProof/>
          <w:sz w:val="21"/>
        </w:rPr>
      </w:pPr>
    </w:p>
    <w:p w14:paraId="41F6541A" w14:textId="6A1E1159" w:rsidR="007C4408" w:rsidRPr="009E298F" w:rsidRDefault="007C4408" w:rsidP="00EB4EBA">
      <w:pPr>
        <w:pStyle w:val="af5"/>
        <w:ind w:left="420"/>
        <w:rPr>
          <w:rFonts w:ascii="Times New Roman" w:eastAsia="宋体" w:hAnsi="Times New Roman"/>
          <w:lang w:val="en-GB"/>
        </w:rPr>
      </w:pPr>
    </w:p>
    <w:sectPr w:rsidR="007C4408" w:rsidRPr="009E298F"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25B54" w14:textId="77777777" w:rsidR="00854156" w:rsidRDefault="00854156" w:rsidP="00451561">
      <w:r>
        <w:separator/>
      </w:r>
    </w:p>
    <w:p w14:paraId="7CC66E45" w14:textId="77777777" w:rsidR="00854156" w:rsidRDefault="00854156" w:rsidP="00451561"/>
  </w:endnote>
  <w:endnote w:type="continuationSeparator" w:id="0">
    <w:p w14:paraId="6EE36B66" w14:textId="77777777" w:rsidR="00854156" w:rsidRDefault="00854156" w:rsidP="00451561">
      <w:r>
        <w:continuationSeparator/>
      </w:r>
    </w:p>
    <w:p w14:paraId="259C21E4" w14:textId="77777777" w:rsidR="00854156" w:rsidRDefault="0085415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E3771" w:rsidRDefault="002E3771"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E3771" w:rsidRDefault="002E3771" w:rsidP="00451561">
    <w:pPr>
      <w:pStyle w:val="table"/>
    </w:pPr>
  </w:p>
  <w:p w14:paraId="1A55E6A4" w14:textId="77777777" w:rsidR="002E3771" w:rsidRDefault="002E3771"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25E6110" w:rsidR="002E3771" w:rsidRPr="00270202" w:rsidRDefault="002E3771"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1B8E">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1B8E">
      <w:rPr>
        <w:rStyle w:val="CharChar2"/>
        <w:b/>
        <w:i/>
        <w:noProof/>
        <w:sz w:val="18"/>
      </w:rPr>
      <w:t>3</w:t>
    </w:r>
    <w:r w:rsidRPr="00270202">
      <w:rPr>
        <w:rStyle w:val="CharChar2"/>
        <w:b/>
        <w:i/>
        <w:sz w:val="18"/>
      </w:rPr>
      <w:fldChar w:fldCharType="end"/>
    </w:r>
  </w:p>
  <w:p w14:paraId="2C7FA615" w14:textId="77777777" w:rsidR="002E3771" w:rsidRDefault="002E3771"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810D6" w14:textId="77777777" w:rsidR="00854156" w:rsidRDefault="00854156" w:rsidP="00451561">
      <w:r>
        <w:separator/>
      </w:r>
    </w:p>
    <w:p w14:paraId="515ABDAE" w14:textId="77777777" w:rsidR="00854156" w:rsidRDefault="00854156" w:rsidP="00451561"/>
  </w:footnote>
  <w:footnote w:type="continuationSeparator" w:id="0">
    <w:p w14:paraId="1F6D6ACE" w14:textId="77777777" w:rsidR="00854156" w:rsidRDefault="00854156" w:rsidP="00451561">
      <w:r>
        <w:continuationSeparator/>
      </w:r>
    </w:p>
    <w:p w14:paraId="43A71330" w14:textId="77777777" w:rsidR="00854156" w:rsidRDefault="00854156"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E3771" w:rsidRDefault="002E3771" w:rsidP="00451561">
    <w:r>
      <w:t xml:space="preserve">Page </w:t>
    </w:r>
    <w:r>
      <w:fldChar w:fldCharType="begin"/>
    </w:r>
    <w:r>
      <w:instrText>PAGE</w:instrText>
    </w:r>
    <w:r>
      <w:fldChar w:fldCharType="separate"/>
    </w:r>
    <w:r>
      <w:rPr>
        <w:noProof/>
      </w:rPr>
      <w:t>1</w:t>
    </w:r>
    <w:r>
      <w:fldChar w:fldCharType="end"/>
    </w:r>
  </w:p>
  <w:p w14:paraId="29AF7EB8" w14:textId="77777777" w:rsidR="002E3771" w:rsidRDefault="002E3771"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90B02"/>
    <w:multiLevelType w:val="hybridMultilevel"/>
    <w:tmpl w:val="1B306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F966FF"/>
    <w:multiLevelType w:val="hybridMultilevel"/>
    <w:tmpl w:val="3BA44F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5"/>
  </w:num>
  <w:num w:numId="4">
    <w:abstractNumId w:val="39"/>
  </w:num>
  <w:num w:numId="5">
    <w:abstractNumId w:val="13"/>
  </w:num>
  <w:num w:numId="6">
    <w:abstractNumId w:val="3"/>
  </w:num>
  <w:num w:numId="7">
    <w:abstractNumId w:val="11"/>
  </w:num>
  <w:num w:numId="8">
    <w:abstractNumId w:val="20"/>
  </w:num>
  <w:num w:numId="9">
    <w:abstractNumId w:val="29"/>
  </w:num>
  <w:num w:numId="10">
    <w:abstractNumId w:val="9"/>
  </w:num>
  <w:num w:numId="11">
    <w:abstractNumId w:val="38"/>
  </w:num>
  <w:num w:numId="12">
    <w:abstractNumId w:val="35"/>
  </w:num>
  <w:num w:numId="13">
    <w:abstractNumId w:val="28"/>
  </w:num>
  <w:num w:numId="14">
    <w:abstractNumId w:val="16"/>
  </w:num>
  <w:num w:numId="15">
    <w:abstractNumId w:val="37"/>
  </w:num>
  <w:num w:numId="16">
    <w:abstractNumId w:val="40"/>
  </w:num>
  <w:num w:numId="17">
    <w:abstractNumId w:val="10"/>
  </w:num>
  <w:num w:numId="18">
    <w:abstractNumId w:val="26"/>
  </w:num>
  <w:num w:numId="19">
    <w:abstractNumId w:val="22"/>
  </w:num>
  <w:num w:numId="20">
    <w:abstractNumId w:val="23"/>
  </w:num>
  <w:num w:numId="21">
    <w:abstractNumId w:val="8"/>
  </w:num>
  <w:num w:numId="22">
    <w:abstractNumId w:val="11"/>
  </w:num>
  <w:num w:numId="23">
    <w:abstractNumId w:val="30"/>
  </w:num>
  <w:num w:numId="24">
    <w:abstractNumId w:val="11"/>
  </w:num>
  <w:num w:numId="25">
    <w:abstractNumId w:val="2"/>
  </w:num>
  <w:num w:numId="26">
    <w:abstractNumId w:val="5"/>
  </w:num>
  <w:num w:numId="27">
    <w:abstractNumId w:val="19"/>
  </w:num>
  <w:num w:numId="28">
    <w:abstractNumId w:val="6"/>
  </w:num>
  <w:num w:numId="29">
    <w:abstractNumId w:val="1"/>
  </w:num>
  <w:num w:numId="30">
    <w:abstractNumId w:val="21"/>
  </w:num>
  <w:num w:numId="31">
    <w:abstractNumId w:val="17"/>
  </w:num>
  <w:num w:numId="32">
    <w:abstractNumId w:val="18"/>
  </w:num>
  <w:num w:numId="33">
    <w:abstractNumId w:val="24"/>
  </w:num>
  <w:num w:numId="34">
    <w:abstractNumId w:val="4"/>
  </w:num>
  <w:num w:numId="35">
    <w:abstractNumId w:val="41"/>
  </w:num>
  <w:num w:numId="36">
    <w:abstractNumId w:val="36"/>
  </w:num>
  <w:num w:numId="37">
    <w:abstractNumId w:val="34"/>
  </w:num>
  <w:num w:numId="38">
    <w:abstractNumId w:val="33"/>
  </w:num>
  <w:num w:numId="39">
    <w:abstractNumId w:val="7"/>
  </w:num>
  <w:num w:numId="40">
    <w:abstractNumId w:val="27"/>
  </w:num>
  <w:num w:numId="41">
    <w:abstractNumId w:val="32"/>
  </w:num>
  <w:num w:numId="42">
    <w:abstractNumId w:val="25"/>
  </w:num>
  <w:num w:numId="4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48"/>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0F1"/>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1F"/>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2E86"/>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2EE5"/>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654"/>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C43"/>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771"/>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D6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493"/>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B8E"/>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3F2"/>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56"/>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A8"/>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99"/>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5D4"/>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124"/>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98F"/>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20"/>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0B5"/>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C9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919"/>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0C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4EBA"/>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C38"/>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23"/>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18B21A7-70D3-441B-B8F9-2A99EF8756B8}">
  <ds:schemaRefs>
    <ds:schemaRef ds:uri="http://schemas.openxmlformats.org/officeDocument/2006/bibliography"/>
  </ds:schemaRefs>
</ds:datastoreItem>
</file>

<file path=customXml/itemProps6.xml><?xml version="1.0" encoding="utf-8"?>
<ds:datastoreItem xmlns:ds="http://schemas.openxmlformats.org/officeDocument/2006/customXml" ds:itemID="{35572C68-462D-4932-89CB-6C9B1FB1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18</cp:revision>
  <cp:lastPrinted>2016-05-08T02:33:00Z</cp:lastPrinted>
  <dcterms:created xsi:type="dcterms:W3CDTF">2021-09-30T06:08:00Z</dcterms:created>
  <dcterms:modified xsi:type="dcterms:W3CDTF">2021-10-01T11:23:00Z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